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 w:hAnsi="仿宋" w:eastAsia="仿宋"/>
          <w:sz w:val="10"/>
          <w:szCs w:val="10"/>
        </w:rPr>
      </w:pPr>
    </w:p>
    <w:p>
      <w:pPr>
        <w:widowControl/>
        <w:jc w:val="center"/>
        <w:rPr>
          <w:rFonts w:ascii="黑体" w:hAnsi="黑体" w:eastAsia="黑体" w:cs="宋体"/>
          <w:b/>
          <w:bCs/>
          <w:kern w:val="0"/>
          <w:sz w:val="36"/>
          <w:szCs w:val="36"/>
        </w:rPr>
      </w:pPr>
      <w:bookmarkStart w:id="0" w:name="_GoBack"/>
      <w:r>
        <w:rPr>
          <w:rFonts w:hint="eastAsia" w:ascii="黑体" w:hAnsi="黑体" w:eastAsia="黑体"/>
          <w:b/>
          <w:sz w:val="36"/>
          <w:szCs w:val="36"/>
        </w:rPr>
        <w:t>广东省招标投标职业道德标准</w:t>
      </w:r>
      <w:bookmarkEnd w:id="0"/>
    </w:p>
    <w:p>
      <w:pPr>
        <w:adjustRightInd w:val="0"/>
        <w:snapToGrid w:val="0"/>
        <w:spacing w:line="520" w:lineRule="exact"/>
        <w:jc w:val="left"/>
        <w:rPr>
          <w:rFonts w:ascii="华文楷体" w:hAnsi="华文楷体" w:eastAsia="华文楷体"/>
          <w:sz w:val="30"/>
          <w:szCs w:val="30"/>
        </w:rPr>
      </w:pPr>
      <w:r>
        <w:rPr>
          <w:rFonts w:hint="eastAsia" w:ascii="华文楷体" w:hAnsi="华文楷体" w:eastAsia="华文楷体"/>
          <w:sz w:val="30"/>
          <w:szCs w:val="30"/>
        </w:rPr>
        <w:t>（经2020年8月广东省招标投标协会第三届第十次理事会审议通过）</w:t>
      </w:r>
    </w:p>
    <w:p>
      <w:pPr>
        <w:widowControl/>
        <w:shd w:val="clear" w:color="auto" w:fill="FFFFFF"/>
        <w:spacing w:line="360" w:lineRule="auto"/>
        <w:jc w:val="center"/>
        <w:rPr>
          <w:rFonts w:ascii="仿宋" w:hAnsi="仿宋" w:eastAsia="仿宋" w:cs="宋体"/>
          <w:b/>
          <w:bCs/>
          <w:color w:val="000000"/>
          <w:kern w:val="0"/>
          <w:sz w:val="11"/>
          <w:szCs w:val="11"/>
        </w:rPr>
      </w:pPr>
    </w:p>
    <w:p>
      <w:pPr>
        <w:adjustRightInd w:val="0"/>
        <w:snapToGrid w:val="0"/>
        <w:spacing w:afterLines="100" w:line="520" w:lineRule="exact"/>
        <w:jc w:val="center"/>
        <w:rPr>
          <w:rFonts w:ascii="仿宋" w:hAnsi="仿宋" w:eastAsia="仿宋"/>
          <w:b/>
          <w:sz w:val="32"/>
          <w:szCs w:val="32"/>
        </w:rPr>
      </w:pPr>
      <w:r>
        <w:rPr>
          <w:rFonts w:hint="eastAsia" w:ascii="仿宋" w:hAnsi="仿宋" w:eastAsia="仿宋"/>
          <w:b/>
          <w:kern w:val="0"/>
          <w:sz w:val="30"/>
          <w:szCs w:val="30"/>
        </w:rPr>
        <w:t>第一章 总则</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第一条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为了建立和健全广东省招标投标行业自律机制，规范招标投标企业和从业人员行为，营造良好的招标投标活动市场秩序，促进招标投标事业的健康发展，依据《中华人民共和国招标投标法》、《中华人民共和国招标投标法实施条例》、广东省实施《中华人民共和国招标投标法》办法、《&lt;关于改革社会组织管理制度促进社会组织健康有序发展的实施意见&gt;的通知》（粤办发〔2017〕14号）等办法及其相关规定，特制定本公约。</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第二条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本标准所称“成员”是指广东省招标投标协会会员，包括招标代理机构、招标投标从业人员。鼓励从事招标投标活动的非会员机构和个人签署和遵守本标准。招投标从业人员应自觉遵守本标准。</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第三条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成员以习近平新时代中国特色社会主义思想为指导，应自觉遵守本标准，诚实守信、公正廉洁，敬业进取，自觉履行遵纪守法、诚实守信的社会责任，抵制失信、违规、违法行为，以高质量的采购成果和优质的服务，赢得社会信任，维护市场秩序和招标采购行业的规范发展，自觉维护国家、政府和行业的整体利益，共同创造良好的发展环境。</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第四条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广东省招标投标职业道德标准委员会是本标准的监督机构，负责对标准的实施情况进行监督。</w:t>
      </w:r>
    </w:p>
    <w:p>
      <w:pPr>
        <w:pStyle w:val="2"/>
        <w:adjustRightInd w:val="0"/>
        <w:snapToGrid w:val="0"/>
        <w:spacing w:before="360" w:afterLines="100" w:line="240" w:lineRule="auto"/>
        <w:jc w:val="center"/>
        <w:rPr>
          <w:rFonts w:ascii="仿宋" w:hAnsi="仿宋" w:eastAsia="仿宋"/>
          <w:kern w:val="0"/>
          <w:sz w:val="30"/>
          <w:szCs w:val="30"/>
        </w:rPr>
      </w:pPr>
      <w:r>
        <w:rPr>
          <w:rFonts w:hint="eastAsia" w:ascii="仿宋" w:hAnsi="仿宋" w:eastAsia="仿宋"/>
          <w:kern w:val="0"/>
          <w:sz w:val="30"/>
          <w:szCs w:val="30"/>
        </w:rPr>
        <w:t>第二章 招标代理机构行为准则</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第五条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委托代理。招标代理机构应在开展代理服务前与招标人签订书面委托代理合同，并在其资格许可、招标人委托范围、招标代理委托合同约定的职责和权限内办理相关招标事宜，提供相关代理服务。</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招标代理机构不得无权代理、越权代理，也不得明知委托事项违法而进行代理。</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第六条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依法执业。招标代理机构应严格遵守相关法律法规和政策，执行国家和行业的标准和规范，维护国家、社会公共利益和服务主体的合法权益。</w:t>
      </w:r>
    </w:p>
    <w:p>
      <w:pPr>
        <w:widowControl/>
        <w:shd w:val="clear" w:color="auto" w:fill="FFFFFF"/>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招标代理机构在从事招标代理服务过程中，应始终遵循公开、公平、公正和诚实信用的原则，若发现当事人有违反国家有关法律法规的行为，应及时向相关行政主管部门或行业协会如实反映情况。</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第七条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诚信履约。招标代理机构应在依法维护社会公众利益的基础上，对招标人负责，勤勉认真、尽职尽责地履行全部代理服务工作和承诺的义务，并恪守职业道德、廉洁自律。</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第八条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充分告知。招标代理机构在开展服务过程中，应当向招标人及时告知招标代理工作实施情况的相关信息，除非得到事先授权，否则在招标活动中形成的招标工作计划、资格预审公告和招标公告、资格预审文件和招标文件及其澄清或者修改、中标通知书等主要文件，以及需作出的可能影响招标结果的各类重要决策，均应当按照委托合同约定提前报告招标人审核确认。</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第九条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自愿有偿。招标人自行自主选择招标代理机构；招标代理机构自愿接受招标人委托提供招标代理服务，并基于委托范围、服务工作质量、服务质量等因素收取相应的招标代理服务费。</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第十条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严格保密。招标代理机构应当保守在代理服务过程中知悉的国家秘密、商业和技术秘密，及其他依据法律法规要求或者委托合同约定应当保密的信息。</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第十一条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利益回避。招标代理机构不得在所代理的招标项目中投标或者代理投标，也不得为所代理的招标项目的投标人提供咨询。</w:t>
      </w:r>
    </w:p>
    <w:p>
      <w:pPr>
        <w:widowControl/>
        <w:shd w:val="clear" w:color="auto" w:fill="FFFFFF"/>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接受委托编制标底或者最高投标限价的招标代理机构不得参加受托编制标底或者最高投标限价项目的投标，也不得为该项目的投标人编制投标文件或者提供咨询。</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第十二条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能力建设。招标代理机构应当重视专业能力建设，提高招标代理服务质量和效率：</w:t>
      </w:r>
    </w:p>
    <w:p>
      <w:pPr>
        <w:widowControl/>
        <w:shd w:val="clear" w:color="auto" w:fill="FFFFFF"/>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1.根据国家现行法律法规和本标准要求，制定和执行本企业内部有关招标代理服务的规范和工作规程；</w:t>
      </w:r>
    </w:p>
    <w:p>
      <w:pPr>
        <w:widowControl/>
        <w:shd w:val="clear" w:color="auto" w:fill="FFFFFF"/>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2.加强招标代理服务从业人员职业道德建设，建立和完善招标代理业务职业道德体系；</w:t>
      </w:r>
    </w:p>
    <w:p>
      <w:pPr>
        <w:widowControl/>
        <w:shd w:val="clear" w:color="auto" w:fill="FFFFFF"/>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3.建立和完善招标代理服务质量管控体系，对资格预审文件和招标文件等招标成果文件实行校审制度，对服务程序实行监督制度，落实岗位责任及其责任追究制度；</w:t>
      </w:r>
    </w:p>
    <w:p>
      <w:pPr>
        <w:widowControl/>
        <w:shd w:val="clear" w:color="auto" w:fill="FFFFFF"/>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4.重视招标代理专业人才队伍和专家库资源建设；</w:t>
      </w:r>
    </w:p>
    <w:p>
      <w:pPr>
        <w:widowControl/>
        <w:shd w:val="clear" w:color="auto" w:fill="FFFFFF"/>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5.提升招标代理服务场所的环境、配套服务设施的水平；</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6.加强信息化建设，运用电子方式加强企业内部以及与相关当事人之间的信息交流和科学管理，积极推动信息积累及利用，提高服务效率。</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第十三条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规范竞争。招标代理机构应当自觉规范市场行为，维护企业以及行业良好形象，严禁以下行为：</w:t>
      </w:r>
    </w:p>
    <w:p>
      <w:pPr>
        <w:widowControl/>
        <w:shd w:val="clear" w:color="auto" w:fill="FFFFFF"/>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1.在宣传、广告、投标文件中弄虚作假；</w:t>
      </w:r>
    </w:p>
    <w:p>
      <w:pPr>
        <w:widowControl/>
        <w:shd w:val="clear" w:color="auto" w:fill="FFFFFF"/>
        <w:spacing w:line="360" w:lineRule="auto"/>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2.为承揽业务，作出违法、违规的承诺，或者提出与实施成本和市场价格水平明显不符的过低报价；</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3.故意贬低、恶意诋毁同行企业。</w:t>
      </w:r>
    </w:p>
    <w:p>
      <w:pPr>
        <w:pStyle w:val="2"/>
        <w:adjustRightInd w:val="0"/>
        <w:snapToGrid w:val="0"/>
        <w:spacing w:before="360" w:afterLines="100" w:line="240" w:lineRule="auto"/>
        <w:jc w:val="center"/>
        <w:rPr>
          <w:rFonts w:ascii="仿宋" w:hAnsi="仿宋" w:eastAsia="仿宋"/>
          <w:kern w:val="0"/>
          <w:sz w:val="30"/>
          <w:szCs w:val="30"/>
        </w:rPr>
      </w:pPr>
      <w:r>
        <w:rPr>
          <w:rFonts w:hint="eastAsia" w:ascii="仿宋" w:hAnsi="仿宋" w:eastAsia="仿宋"/>
          <w:kern w:val="0"/>
          <w:sz w:val="30"/>
          <w:szCs w:val="30"/>
        </w:rPr>
        <w:t>第三章 招标投标从业人员道德规范</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color w:val="000000"/>
          <w:kern w:val="0"/>
          <w:sz w:val="30"/>
          <w:szCs w:val="30"/>
        </w:rPr>
        <w:t>第十四条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从业人员应当具备合格的职业素质能力，坚持诚信守法、客观公正、专业科学、经济高效的行为准则，自觉遵守招标采购法律法规、政策和职业道德规范，依法承揽服务项目并按照项目需求以及约定的服务要求，规范提供招标采购专业服务。</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color w:val="000000"/>
          <w:kern w:val="0"/>
          <w:sz w:val="30"/>
          <w:szCs w:val="30"/>
        </w:rPr>
        <w:t>第十五条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从业人员严格遵守国家有关的法律法规和政策，正确理解和执行国家和行业的标准规范，自觉维护国家、社会公共利益和招投标当事人的合法权益；遵守招标采购行业自律规章和企业制度，认真履行岗位职责和义务；禁止违法违规行为。</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color w:val="000000"/>
          <w:kern w:val="0"/>
          <w:sz w:val="30"/>
          <w:szCs w:val="30"/>
        </w:rPr>
        <w:t>第十六条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从业人员严格遵守招标采购公开、公平、公正和诚实信用的原则；坚持依法规范招标采购、客观公正评价交易对象、诚信履行服务合同、对服务质量精益求精。</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color w:val="000000"/>
          <w:kern w:val="0"/>
          <w:sz w:val="30"/>
          <w:szCs w:val="30"/>
        </w:rPr>
        <w:t>第十七条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从业人员努力提升招标采购职业素质和服务能力水平，积极参与招标采购行业经验和专业知识的学习培训及交流，自觉接受招标采购职业继续教育，不断更新招标采购专业技术知识，了解国内外招标采购行业发展动态。</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color w:val="000000"/>
          <w:kern w:val="0"/>
          <w:sz w:val="30"/>
          <w:szCs w:val="30"/>
        </w:rPr>
        <w:t>第十八条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从业人员严格保守招标采购服务中应当依法保密的招标投标信息、国家秘密信息、招标投标主体与从业单位以及其他相关主体的商业秘密、技术秘密，禁止利用机密信息非法牟利；招标采购中，如果招标投标从业本人与相关主体存在利益关联或者冲突，应当严格回避。</w:t>
      </w:r>
    </w:p>
    <w:p>
      <w:pPr>
        <w:widowControl/>
        <w:shd w:val="clear" w:color="auto" w:fill="FFFFFF"/>
        <w:spacing w:line="360" w:lineRule="auto"/>
        <w:ind w:firstLine="602" w:firstLineChars="200"/>
        <w:jc w:val="left"/>
        <w:rPr>
          <w:rFonts w:ascii="仿宋" w:hAnsi="仿宋" w:eastAsia="仿宋" w:cs="宋体"/>
          <w:color w:val="000000"/>
          <w:kern w:val="0"/>
          <w:sz w:val="30"/>
          <w:szCs w:val="30"/>
        </w:rPr>
      </w:pPr>
      <w:r>
        <w:rPr>
          <w:rFonts w:hint="eastAsia" w:ascii="仿宋" w:hAnsi="仿宋" w:eastAsia="仿宋" w:cs="宋体"/>
          <w:b/>
          <w:color w:val="000000"/>
          <w:kern w:val="0"/>
          <w:sz w:val="30"/>
          <w:szCs w:val="30"/>
        </w:rPr>
        <w:t>第十九条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从业人员应廉洁自律、规范履职；不得利用单位和个人职务之便向委托人或者其他任何人谋取不正当利益，除了依法获取约定的服务费之外，不得收受任何利害关系人的财物；不得以不正当手段承揽业务；不得允许他人以本人名义执业。</w:t>
      </w:r>
    </w:p>
    <w:p>
      <w:pPr>
        <w:widowControl/>
        <w:shd w:val="clear" w:color="auto" w:fill="FFFFFF"/>
        <w:spacing w:line="360" w:lineRule="auto"/>
        <w:ind w:firstLine="602" w:firstLineChars="200"/>
        <w:jc w:val="left"/>
        <w:rPr>
          <w:rStyle w:val="67"/>
          <w:rFonts w:ascii="仿宋" w:hAnsi="仿宋" w:eastAsia="仿宋"/>
          <w:sz w:val="30"/>
          <w:szCs w:val="30"/>
        </w:rPr>
      </w:pPr>
      <w:r>
        <w:rPr>
          <w:rFonts w:hint="eastAsia" w:ascii="仿宋" w:hAnsi="仿宋" w:eastAsia="仿宋" w:cs="宋体"/>
          <w:b/>
          <w:color w:val="000000"/>
          <w:kern w:val="0"/>
          <w:sz w:val="30"/>
          <w:szCs w:val="30"/>
        </w:rPr>
        <w:t>第二十条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从业人员应自觉维护招标采购职业形象和行业信誉，坚持同行和同事之间的平等有序竞争和团结友好合作；主动接受政府、招标投标行业组织、社会公众以及所在企业的行为监督。</w:t>
      </w:r>
    </w:p>
    <w:p>
      <w:pPr>
        <w:pStyle w:val="2"/>
        <w:adjustRightInd w:val="0"/>
        <w:snapToGrid w:val="0"/>
        <w:spacing w:before="360" w:afterLines="100" w:line="240" w:lineRule="auto"/>
        <w:jc w:val="center"/>
        <w:rPr>
          <w:rFonts w:ascii="仿宋" w:hAnsi="仿宋" w:eastAsia="仿宋"/>
          <w:kern w:val="0"/>
          <w:sz w:val="30"/>
          <w:szCs w:val="30"/>
        </w:rPr>
      </w:pPr>
      <w:r>
        <w:rPr>
          <w:rFonts w:hint="eastAsia" w:ascii="仿宋" w:hAnsi="仿宋" w:eastAsia="仿宋"/>
          <w:kern w:val="0"/>
          <w:sz w:val="30"/>
          <w:szCs w:val="30"/>
        </w:rPr>
        <w:t>第四章 标准的执行</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第二十一条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广东省招标投标协会负责组织和实施本标准，并及时向成员传递招标投标活动的法律、法规、政策及行业资讯，向政府有关部门反映公约成员的意愿和要求，在本公约范围内对业内重大事项进行调查研究，并提出协调处理意见。</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第二十二条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成员应自觉履行本标准的规定，主动参与行业组织的职业道德宣传教育及活动，认真配合相关行政主管部门、职业道德标准委员会对其职业道德行为的考核、调查和监督工作。</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第二十三条</w:t>
      </w:r>
      <w:r>
        <w:rPr>
          <w:rFonts w:hint="eastAsia" w:eastAsia="仿宋" w:cs="宋体" w:asciiTheme="minorEastAsia" w:hAnsiTheme="minorEastAsia"/>
          <w:b/>
          <w:bCs/>
          <w:color w:val="000000"/>
          <w:kern w:val="0"/>
          <w:sz w:val="30"/>
          <w:szCs w:val="30"/>
        </w:rPr>
        <w:t> </w:t>
      </w:r>
      <w:r>
        <w:rPr>
          <w:rFonts w:hint="eastAsia" w:ascii="仿宋" w:hAnsi="仿宋" w:eastAsia="仿宋" w:cs="宋体"/>
          <w:color w:val="000000"/>
          <w:kern w:val="0"/>
          <w:sz w:val="30"/>
          <w:szCs w:val="30"/>
        </w:rPr>
        <w:t>成员之间发生争议时，争议各方应本着平等、互谅、互让的原则，争取以协商的方式解决；协商不成时，双方可以请求职业道德标准委员会进行调解，也可以单方直接请求职业道德标准委员会进行调解。</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第二十四条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成员有权向职业道德标准委员会执行本标准的公平性进行监督，有权向相关部门检举职业道德标准委员会或其工作人员违反标准的行为。</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第二十五条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成员如违反职业道德标准条款，经职业道德标准委员会核实，提请协会理事会审定后十五个工作日内，根据情节轻重、造成影响和损失等情况，分别给予下列惩戒处理或向有关行政监督部门反映：</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（一）在协会内部通报批评，责成书面检查；</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（二）根据情节轻重，在一定期限内暂停协会会员资格，并在协会刊物、网站上公告；</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（三）取消协会会长、副会长、理事单位等资格，并解除相应的协会职务；</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（四）取消协会会员资格，并在协会刊物、网站等公开通报；</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（五）建议政府有关部门按规定停业整顿、撤销其资质或给予相应的行政处罚。</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第二十六条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对签署并自觉遵守职业道德标准的成员单位，提请协会理事会审定后，分别给予以下奖励（细则另定）：</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（一）通过协会简报、网站、微信公众号等媒体向社会披露其良好的信用信息；</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（二）在行业内予以通报表彰，颁发年度表彰证书；</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（三）向招标采购监管部门及招标人推送表彰结果；</w:t>
      </w:r>
    </w:p>
    <w:p>
      <w:pPr>
        <w:widowControl/>
        <w:shd w:val="clear" w:color="auto" w:fill="FFFFFF"/>
        <w:spacing w:line="360" w:lineRule="auto"/>
        <w:ind w:firstLine="600" w:firstLineChars="200"/>
        <w:jc w:val="left"/>
        <w:rPr>
          <w:rFonts w:ascii="仿宋" w:hAnsi="仿宋" w:eastAsia="仿宋" w:cs="宋体"/>
          <w:color w:val="666666"/>
          <w:kern w:val="0"/>
          <w:sz w:val="30"/>
          <w:szCs w:val="30"/>
        </w:rPr>
      </w:pPr>
      <w:r>
        <w:rPr>
          <w:rFonts w:hint="eastAsia" w:ascii="仿宋" w:hAnsi="仿宋" w:eastAsia="仿宋" w:cs="宋体"/>
          <w:color w:val="000000"/>
          <w:kern w:val="0"/>
          <w:sz w:val="30"/>
          <w:szCs w:val="30"/>
        </w:rPr>
        <w:t>（四）给予单位或个人一定的精神或物资奖励。</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第二十七条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本标准在实施过程中如与国家法律法规、招标采购监管部门及相关行政部门的决定或裁决不一致，以国家法律法规、招标采购监管部门及有关行政部门的相关规定为准。</w:t>
      </w:r>
    </w:p>
    <w:p>
      <w:pPr>
        <w:pStyle w:val="2"/>
        <w:adjustRightInd w:val="0"/>
        <w:snapToGrid w:val="0"/>
        <w:spacing w:before="360" w:afterLines="100" w:line="240" w:lineRule="auto"/>
        <w:jc w:val="center"/>
        <w:rPr>
          <w:rFonts w:ascii="仿宋" w:hAnsi="仿宋" w:eastAsia="仿宋"/>
          <w:kern w:val="0"/>
          <w:sz w:val="30"/>
          <w:szCs w:val="30"/>
        </w:rPr>
      </w:pPr>
      <w:r>
        <w:rPr>
          <w:rFonts w:hint="eastAsia" w:ascii="仿宋" w:hAnsi="仿宋" w:eastAsia="仿宋"/>
          <w:kern w:val="0"/>
          <w:sz w:val="30"/>
          <w:szCs w:val="30"/>
        </w:rPr>
        <w:t>第五章 附则</w:t>
      </w:r>
    </w:p>
    <w:p>
      <w:pPr>
        <w:widowControl/>
        <w:shd w:val="clear" w:color="auto" w:fill="FFFFFF"/>
        <w:spacing w:line="360" w:lineRule="auto"/>
        <w:ind w:firstLine="602" w:firstLineChars="200"/>
        <w:jc w:val="left"/>
        <w:rPr>
          <w:rFonts w:ascii="仿宋" w:hAnsi="仿宋" w:eastAsia="仿宋" w:cs="宋体"/>
          <w:color w:val="666666"/>
          <w:kern w:val="0"/>
          <w:sz w:val="30"/>
          <w:szCs w:val="30"/>
        </w:rPr>
      </w:pPr>
      <w:r>
        <w:rPr>
          <w:rFonts w:hint="eastAsia" w:ascii="仿宋" w:hAnsi="仿宋" w:eastAsia="仿宋" w:cs="宋体"/>
          <w:b/>
          <w:bCs/>
          <w:color w:val="000000"/>
          <w:kern w:val="0"/>
          <w:sz w:val="30"/>
          <w:szCs w:val="30"/>
        </w:rPr>
        <w:t>第二十八条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本标准经2020年8月广东省招标投标协会第   三届第十次理事会通过施行。</w:t>
      </w:r>
    </w:p>
    <w:p>
      <w:pPr>
        <w:widowControl/>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第二十九条</w:t>
      </w:r>
      <w:r>
        <w:rPr>
          <w:rFonts w:hint="eastAsia" w:eastAsia="仿宋" w:cs="宋体" w:asciiTheme="minorEastAsia" w:hAnsiTheme="minorEastAsia"/>
          <w:color w:val="000000"/>
          <w:kern w:val="0"/>
          <w:sz w:val="30"/>
          <w:szCs w:val="30"/>
        </w:rPr>
        <w:t> </w:t>
      </w:r>
      <w:r>
        <w:rPr>
          <w:rFonts w:hint="eastAsia" w:ascii="仿宋" w:hAnsi="仿宋" w:eastAsia="仿宋" w:cs="宋体"/>
          <w:color w:val="000000"/>
          <w:kern w:val="0"/>
          <w:sz w:val="30"/>
          <w:szCs w:val="30"/>
        </w:rPr>
        <w:t>本会理事会对本标准具有解释权和修订权。</w:t>
      </w:r>
    </w:p>
    <w:p>
      <w:pPr>
        <w:widowControl/>
        <w:jc w:val="left"/>
        <w:rPr>
          <w:rFonts w:ascii="仿宋" w:hAnsi="仿宋" w:eastAsia="仿宋" w:cs="宋体"/>
          <w:color w:val="000000"/>
          <w:kern w:val="0"/>
          <w:sz w:val="30"/>
          <w:szCs w:val="30"/>
        </w:rPr>
      </w:pPr>
    </w:p>
    <w:p>
      <w:pPr>
        <w:widowControl/>
        <w:jc w:val="left"/>
        <w:rPr>
          <w:rFonts w:ascii="仿宋" w:hAnsi="仿宋" w:eastAsia="仿宋"/>
          <w:sz w:val="30"/>
          <w:szCs w:val="30"/>
        </w:rPr>
      </w:pPr>
    </w:p>
    <w:sectPr>
      <w:footerReference r:id="rId3" w:type="default"/>
      <w:pgSz w:w="11906" w:h="16838"/>
      <w:pgMar w:top="1440" w:right="1531" w:bottom="1134" w:left="1531" w:header="1021" w:footer="680"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23</w:t>
    </w:r>
    <w:r>
      <w:rPr>
        <w:lang w:val="zh-CN"/>
      </w:rP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4877"/>
    <w:rsid w:val="0000096B"/>
    <w:rsid w:val="000144FA"/>
    <w:rsid w:val="0003776F"/>
    <w:rsid w:val="00056B68"/>
    <w:rsid w:val="00060D3E"/>
    <w:rsid w:val="00061030"/>
    <w:rsid w:val="00066242"/>
    <w:rsid w:val="00073626"/>
    <w:rsid w:val="0009546D"/>
    <w:rsid w:val="00095C08"/>
    <w:rsid w:val="000A044E"/>
    <w:rsid w:val="000A37B8"/>
    <w:rsid w:val="000B27FF"/>
    <w:rsid w:val="000B4D29"/>
    <w:rsid w:val="000B6562"/>
    <w:rsid w:val="000D0328"/>
    <w:rsid w:val="000D5D3E"/>
    <w:rsid w:val="000E4D07"/>
    <w:rsid w:val="000F3524"/>
    <w:rsid w:val="00100AEA"/>
    <w:rsid w:val="00103D85"/>
    <w:rsid w:val="00104AF9"/>
    <w:rsid w:val="00105D33"/>
    <w:rsid w:val="001143A7"/>
    <w:rsid w:val="0012092A"/>
    <w:rsid w:val="001332A2"/>
    <w:rsid w:val="00137E74"/>
    <w:rsid w:val="00143EF8"/>
    <w:rsid w:val="00146AF4"/>
    <w:rsid w:val="001514A0"/>
    <w:rsid w:val="00173A30"/>
    <w:rsid w:val="00181029"/>
    <w:rsid w:val="0018114A"/>
    <w:rsid w:val="00194780"/>
    <w:rsid w:val="001964A5"/>
    <w:rsid w:val="001B09CD"/>
    <w:rsid w:val="001C0D07"/>
    <w:rsid w:val="001C7647"/>
    <w:rsid w:val="001F3022"/>
    <w:rsid w:val="002065AC"/>
    <w:rsid w:val="0022141A"/>
    <w:rsid w:val="002330C0"/>
    <w:rsid w:val="00234629"/>
    <w:rsid w:val="00243EE5"/>
    <w:rsid w:val="0026478F"/>
    <w:rsid w:val="002716A9"/>
    <w:rsid w:val="00275765"/>
    <w:rsid w:val="002806AF"/>
    <w:rsid w:val="002A0EAF"/>
    <w:rsid w:val="002C1105"/>
    <w:rsid w:val="003052C3"/>
    <w:rsid w:val="00311D5D"/>
    <w:rsid w:val="00326FBF"/>
    <w:rsid w:val="003406CE"/>
    <w:rsid w:val="00352247"/>
    <w:rsid w:val="00360431"/>
    <w:rsid w:val="003625FC"/>
    <w:rsid w:val="003718EE"/>
    <w:rsid w:val="0037270F"/>
    <w:rsid w:val="0038008B"/>
    <w:rsid w:val="00391EF6"/>
    <w:rsid w:val="0039426D"/>
    <w:rsid w:val="0039452F"/>
    <w:rsid w:val="00394877"/>
    <w:rsid w:val="003A69EE"/>
    <w:rsid w:val="003B01FA"/>
    <w:rsid w:val="003B7388"/>
    <w:rsid w:val="003C117C"/>
    <w:rsid w:val="003D60D5"/>
    <w:rsid w:val="003E04B7"/>
    <w:rsid w:val="003E3113"/>
    <w:rsid w:val="003F232B"/>
    <w:rsid w:val="003F7E77"/>
    <w:rsid w:val="00404BD3"/>
    <w:rsid w:val="00416179"/>
    <w:rsid w:val="0042408D"/>
    <w:rsid w:val="004248E4"/>
    <w:rsid w:val="0043022F"/>
    <w:rsid w:val="00434570"/>
    <w:rsid w:val="00434D22"/>
    <w:rsid w:val="004401BC"/>
    <w:rsid w:val="00444692"/>
    <w:rsid w:val="00450D41"/>
    <w:rsid w:val="00463B5E"/>
    <w:rsid w:val="00473A7C"/>
    <w:rsid w:val="00474ECB"/>
    <w:rsid w:val="004817A9"/>
    <w:rsid w:val="00484B24"/>
    <w:rsid w:val="004B506B"/>
    <w:rsid w:val="004C4114"/>
    <w:rsid w:val="004C461A"/>
    <w:rsid w:val="004C7F5C"/>
    <w:rsid w:val="004E1274"/>
    <w:rsid w:val="004E5224"/>
    <w:rsid w:val="005049CF"/>
    <w:rsid w:val="005049D6"/>
    <w:rsid w:val="00504F1E"/>
    <w:rsid w:val="00512442"/>
    <w:rsid w:val="005146CD"/>
    <w:rsid w:val="005157CA"/>
    <w:rsid w:val="00524395"/>
    <w:rsid w:val="00525FE1"/>
    <w:rsid w:val="005333FF"/>
    <w:rsid w:val="00533AF1"/>
    <w:rsid w:val="00535476"/>
    <w:rsid w:val="00535964"/>
    <w:rsid w:val="00544D3D"/>
    <w:rsid w:val="00554982"/>
    <w:rsid w:val="005772B1"/>
    <w:rsid w:val="00581AB1"/>
    <w:rsid w:val="005839B0"/>
    <w:rsid w:val="00591840"/>
    <w:rsid w:val="0059451B"/>
    <w:rsid w:val="00596A2C"/>
    <w:rsid w:val="005B048C"/>
    <w:rsid w:val="005B7017"/>
    <w:rsid w:val="005E33EE"/>
    <w:rsid w:val="005E6EE0"/>
    <w:rsid w:val="005F0DA1"/>
    <w:rsid w:val="006172B9"/>
    <w:rsid w:val="00617F5D"/>
    <w:rsid w:val="006263EA"/>
    <w:rsid w:val="00634DB5"/>
    <w:rsid w:val="00636BCF"/>
    <w:rsid w:val="00650F0C"/>
    <w:rsid w:val="00652A80"/>
    <w:rsid w:val="0066012E"/>
    <w:rsid w:val="00663108"/>
    <w:rsid w:val="006745FD"/>
    <w:rsid w:val="00680065"/>
    <w:rsid w:val="00682F6F"/>
    <w:rsid w:val="00693100"/>
    <w:rsid w:val="006A6F25"/>
    <w:rsid w:val="006B3FFD"/>
    <w:rsid w:val="006B70A1"/>
    <w:rsid w:val="006C1083"/>
    <w:rsid w:val="006D53BF"/>
    <w:rsid w:val="006D573F"/>
    <w:rsid w:val="006D5803"/>
    <w:rsid w:val="006D623E"/>
    <w:rsid w:val="006E247B"/>
    <w:rsid w:val="007014C8"/>
    <w:rsid w:val="00704439"/>
    <w:rsid w:val="00721CC4"/>
    <w:rsid w:val="007445AD"/>
    <w:rsid w:val="00746238"/>
    <w:rsid w:val="0076010B"/>
    <w:rsid w:val="007704D0"/>
    <w:rsid w:val="00785EF4"/>
    <w:rsid w:val="007971B4"/>
    <w:rsid w:val="007B1935"/>
    <w:rsid w:val="007C079D"/>
    <w:rsid w:val="007C765C"/>
    <w:rsid w:val="007E0764"/>
    <w:rsid w:val="007F2F65"/>
    <w:rsid w:val="008052DD"/>
    <w:rsid w:val="00835699"/>
    <w:rsid w:val="00837722"/>
    <w:rsid w:val="00841CB2"/>
    <w:rsid w:val="00841CF3"/>
    <w:rsid w:val="00842473"/>
    <w:rsid w:val="00850482"/>
    <w:rsid w:val="00874BA7"/>
    <w:rsid w:val="008961C6"/>
    <w:rsid w:val="008A486A"/>
    <w:rsid w:val="008A528E"/>
    <w:rsid w:val="008B4C59"/>
    <w:rsid w:val="008B70AE"/>
    <w:rsid w:val="008D47C7"/>
    <w:rsid w:val="008D6875"/>
    <w:rsid w:val="008E524C"/>
    <w:rsid w:val="008F59D2"/>
    <w:rsid w:val="00915876"/>
    <w:rsid w:val="0092098C"/>
    <w:rsid w:val="0092511B"/>
    <w:rsid w:val="009434D2"/>
    <w:rsid w:val="009468D5"/>
    <w:rsid w:val="009510AC"/>
    <w:rsid w:val="00953AFB"/>
    <w:rsid w:val="00953CF0"/>
    <w:rsid w:val="009575DD"/>
    <w:rsid w:val="00964997"/>
    <w:rsid w:val="00964AF5"/>
    <w:rsid w:val="009655BF"/>
    <w:rsid w:val="00967C85"/>
    <w:rsid w:val="00972024"/>
    <w:rsid w:val="00972FA8"/>
    <w:rsid w:val="00991106"/>
    <w:rsid w:val="00991D69"/>
    <w:rsid w:val="00996AC8"/>
    <w:rsid w:val="009A6178"/>
    <w:rsid w:val="009A6822"/>
    <w:rsid w:val="009B6B9C"/>
    <w:rsid w:val="009E1B70"/>
    <w:rsid w:val="009E6465"/>
    <w:rsid w:val="00A025B0"/>
    <w:rsid w:val="00A035DA"/>
    <w:rsid w:val="00A036A7"/>
    <w:rsid w:val="00A11C8E"/>
    <w:rsid w:val="00A13B04"/>
    <w:rsid w:val="00A15F07"/>
    <w:rsid w:val="00A21C3E"/>
    <w:rsid w:val="00A22151"/>
    <w:rsid w:val="00A24865"/>
    <w:rsid w:val="00A3357C"/>
    <w:rsid w:val="00A4555C"/>
    <w:rsid w:val="00A56072"/>
    <w:rsid w:val="00A6049B"/>
    <w:rsid w:val="00A656CE"/>
    <w:rsid w:val="00A77284"/>
    <w:rsid w:val="00A83532"/>
    <w:rsid w:val="00A90CB5"/>
    <w:rsid w:val="00A95FEE"/>
    <w:rsid w:val="00AA14F1"/>
    <w:rsid w:val="00AC59E1"/>
    <w:rsid w:val="00AF7B0E"/>
    <w:rsid w:val="00B01CFC"/>
    <w:rsid w:val="00B1214C"/>
    <w:rsid w:val="00B45507"/>
    <w:rsid w:val="00B90763"/>
    <w:rsid w:val="00BA190F"/>
    <w:rsid w:val="00BA5263"/>
    <w:rsid w:val="00BB2B12"/>
    <w:rsid w:val="00BB3611"/>
    <w:rsid w:val="00BC0A2F"/>
    <w:rsid w:val="00BD66FC"/>
    <w:rsid w:val="00BF3575"/>
    <w:rsid w:val="00BF7E71"/>
    <w:rsid w:val="00C101C6"/>
    <w:rsid w:val="00C11DED"/>
    <w:rsid w:val="00C13B38"/>
    <w:rsid w:val="00C16E33"/>
    <w:rsid w:val="00C24E8C"/>
    <w:rsid w:val="00C510E7"/>
    <w:rsid w:val="00C705FD"/>
    <w:rsid w:val="00C74ABA"/>
    <w:rsid w:val="00C84209"/>
    <w:rsid w:val="00C94D18"/>
    <w:rsid w:val="00CA2DF5"/>
    <w:rsid w:val="00CA5486"/>
    <w:rsid w:val="00CC16C9"/>
    <w:rsid w:val="00CC449D"/>
    <w:rsid w:val="00CF0F87"/>
    <w:rsid w:val="00CF1F9F"/>
    <w:rsid w:val="00CF6728"/>
    <w:rsid w:val="00CF6A46"/>
    <w:rsid w:val="00D04741"/>
    <w:rsid w:val="00D26C0D"/>
    <w:rsid w:val="00D4290B"/>
    <w:rsid w:val="00D57280"/>
    <w:rsid w:val="00D6154D"/>
    <w:rsid w:val="00D843BA"/>
    <w:rsid w:val="00D86928"/>
    <w:rsid w:val="00DA69E8"/>
    <w:rsid w:val="00DB22EB"/>
    <w:rsid w:val="00DB3022"/>
    <w:rsid w:val="00DB37CB"/>
    <w:rsid w:val="00DB5537"/>
    <w:rsid w:val="00DC3162"/>
    <w:rsid w:val="00DC6442"/>
    <w:rsid w:val="00DF0095"/>
    <w:rsid w:val="00E0040B"/>
    <w:rsid w:val="00E05A61"/>
    <w:rsid w:val="00E12743"/>
    <w:rsid w:val="00E5783D"/>
    <w:rsid w:val="00E62D3E"/>
    <w:rsid w:val="00E71542"/>
    <w:rsid w:val="00E729BD"/>
    <w:rsid w:val="00E83AB9"/>
    <w:rsid w:val="00EA309C"/>
    <w:rsid w:val="00EB13A0"/>
    <w:rsid w:val="00EB28D5"/>
    <w:rsid w:val="00EB2D25"/>
    <w:rsid w:val="00EB4D3A"/>
    <w:rsid w:val="00EC16BA"/>
    <w:rsid w:val="00EE62F8"/>
    <w:rsid w:val="00EF7F4F"/>
    <w:rsid w:val="00F01735"/>
    <w:rsid w:val="00F01D51"/>
    <w:rsid w:val="00F0725E"/>
    <w:rsid w:val="00F129EC"/>
    <w:rsid w:val="00F157A0"/>
    <w:rsid w:val="00F24F78"/>
    <w:rsid w:val="00F26229"/>
    <w:rsid w:val="00F31603"/>
    <w:rsid w:val="00F31B53"/>
    <w:rsid w:val="00F605E9"/>
    <w:rsid w:val="00F609DC"/>
    <w:rsid w:val="00F60F82"/>
    <w:rsid w:val="00F630CA"/>
    <w:rsid w:val="00F630CD"/>
    <w:rsid w:val="00F80696"/>
    <w:rsid w:val="00F86EC5"/>
    <w:rsid w:val="00F9355D"/>
    <w:rsid w:val="00FA06B6"/>
    <w:rsid w:val="00FB21F5"/>
    <w:rsid w:val="00FB79DB"/>
    <w:rsid w:val="00FC193C"/>
    <w:rsid w:val="00FC55A0"/>
    <w:rsid w:val="00FD2D1F"/>
    <w:rsid w:val="00FE6DF5"/>
    <w:rsid w:val="00FF06DD"/>
    <w:rsid w:val="00FF6B3E"/>
    <w:rsid w:val="3064403B"/>
    <w:rsid w:val="36EA598F"/>
    <w:rsid w:val="38596925"/>
    <w:rsid w:val="703B6550"/>
    <w:rsid w:val="798227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0"/>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43"/>
    <w:qFormat/>
    <w:uiPriority w:val="0"/>
    <w:rPr>
      <w:rFonts w:ascii="宋体" w:hAnsi="Times New Roman"/>
      <w:sz w:val="18"/>
      <w:szCs w:val="18"/>
    </w:rPr>
  </w:style>
  <w:style w:type="paragraph" w:styleId="6">
    <w:name w:val="annotation text"/>
    <w:basedOn w:val="1"/>
    <w:link w:val="45"/>
    <w:unhideWhenUsed/>
    <w:qFormat/>
    <w:uiPriority w:val="0"/>
    <w:pPr>
      <w:jc w:val="left"/>
    </w:pPr>
  </w:style>
  <w:style w:type="paragraph" w:styleId="7">
    <w:name w:val="Body Text"/>
    <w:basedOn w:val="1"/>
    <w:link w:val="42"/>
    <w:qFormat/>
    <w:uiPriority w:val="0"/>
    <w:pPr>
      <w:spacing w:line="360" w:lineRule="auto"/>
    </w:pPr>
    <w:rPr>
      <w:rFonts w:ascii="Times New Roman" w:hAnsi="Times New Roman"/>
      <w:szCs w:val="21"/>
    </w:rPr>
  </w:style>
  <w:style w:type="paragraph" w:styleId="8">
    <w:name w:val="toc 3"/>
    <w:basedOn w:val="1"/>
    <w:next w:val="1"/>
    <w:qFormat/>
    <w:uiPriority w:val="39"/>
    <w:pPr>
      <w:widowControl/>
      <w:spacing w:after="100" w:line="276" w:lineRule="auto"/>
      <w:ind w:left="440"/>
      <w:jc w:val="left"/>
    </w:pPr>
    <w:rPr>
      <w:rFonts w:ascii="Calibri" w:hAnsi="Calibri" w:eastAsia="宋体" w:cs="Times New Roman"/>
      <w:kern w:val="0"/>
      <w:sz w:val="22"/>
    </w:rPr>
  </w:style>
  <w:style w:type="paragraph" w:styleId="9">
    <w:name w:val="Date"/>
    <w:basedOn w:val="1"/>
    <w:next w:val="1"/>
    <w:link w:val="26"/>
    <w:unhideWhenUsed/>
    <w:qFormat/>
    <w:uiPriority w:val="99"/>
    <w:pPr>
      <w:ind w:left="100" w:leftChars="2500"/>
    </w:pPr>
  </w:style>
  <w:style w:type="paragraph" w:styleId="10">
    <w:name w:val="Balloon Text"/>
    <w:basedOn w:val="1"/>
    <w:link w:val="28"/>
    <w:unhideWhenUsed/>
    <w:qFormat/>
    <w:uiPriority w:val="0"/>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rPr>
      <w:rFonts w:ascii="Times New Roman" w:hAnsi="Times New Roman" w:eastAsia="宋体" w:cs="Times New Roman"/>
      <w:szCs w:val="24"/>
    </w:rPr>
  </w:style>
  <w:style w:type="paragraph" w:styleId="14">
    <w:name w:val="toc 2"/>
    <w:basedOn w:val="1"/>
    <w:next w:val="1"/>
    <w:qFormat/>
    <w:uiPriority w:val="0"/>
    <w:pPr>
      <w:widowControl/>
      <w:spacing w:after="100" w:line="276" w:lineRule="auto"/>
      <w:ind w:left="220"/>
      <w:jc w:val="left"/>
    </w:pPr>
    <w:rPr>
      <w:rFonts w:ascii="Calibri" w:hAnsi="Calibri" w:eastAsia="宋体" w:cs="Times New Roman"/>
      <w:kern w:val="0"/>
      <w:sz w:val="22"/>
    </w:rPr>
  </w:style>
  <w:style w:type="paragraph" w:styleId="1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annotation subject"/>
    <w:basedOn w:val="6"/>
    <w:next w:val="6"/>
    <w:link w:val="47"/>
    <w:qFormat/>
    <w:uiPriority w:val="0"/>
    <w:rPr>
      <w:rFonts w:ascii="Times New Roman" w:hAnsi="Times New Roman"/>
      <w:b/>
      <w:bCs/>
      <w:szCs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page number"/>
    <w:basedOn w:val="19"/>
    <w:qFormat/>
    <w:uiPriority w:val="0"/>
    <w:rPr>
      <w:rFonts w:ascii="Times New Roman" w:hAnsi="Times New Roman" w:eastAsia="宋体" w:cs="Times New Roman"/>
      <w:sz w:val="18"/>
    </w:rPr>
  </w:style>
  <w:style w:type="character" w:styleId="22">
    <w:name w:val="Hyperlink"/>
    <w:basedOn w:val="19"/>
    <w:unhideWhenUsed/>
    <w:qFormat/>
    <w:uiPriority w:val="99"/>
    <w:rPr>
      <w:color w:val="0000FF"/>
      <w:u w:val="single"/>
    </w:rPr>
  </w:style>
  <w:style w:type="character" w:styleId="23">
    <w:name w:val="annotation reference"/>
    <w:basedOn w:val="19"/>
    <w:qFormat/>
    <w:uiPriority w:val="0"/>
    <w:rPr>
      <w:rFonts w:cs="Times New Roman"/>
      <w:sz w:val="21"/>
      <w:szCs w:val="21"/>
    </w:rPr>
  </w:style>
  <w:style w:type="character" w:customStyle="1" w:styleId="24">
    <w:name w:val="页眉 Char"/>
    <w:basedOn w:val="19"/>
    <w:link w:val="12"/>
    <w:uiPriority w:val="0"/>
    <w:rPr>
      <w:sz w:val="18"/>
      <w:szCs w:val="18"/>
    </w:rPr>
  </w:style>
  <w:style w:type="character" w:customStyle="1" w:styleId="25">
    <w:name w:val="页脚 Char"/>
    <w:basedOn w:val="19"/>
    <w:link w:val="11"/>
    <w:qFormat/>
    <w:uiPriority w:val="99"/>
    <w:rPr>
      <w:sz w:val="18"/>
      <w:szCs w:val="18"/>
    </w:rPr>
  </w:style>
  <w:style w:type="character" w:customStyle="1" w:styleId="26">
    <w:name w:val="日期 Char"/>
    <w:basedOn w:val="19"/>
    <w:link w:val="9"/>
    <w:qFormat/>
    <w:uiPriority w:val="99"/>
  </w:style>
  <w:style w:type="paragraph" w:styleId="27">
    <w:name w:val="List Paragraph"/>
    <w:basedOn w:val="1"/>
    <w:unhideWhenUsed/>
    <w:uiPriority w:val="99"/>
    <w:pPr>
      <w:ind w:firstLine="420" w:firstLineChars="200"/>
    </w:pPr>
  </w:style>
  <w:style w:type="character" w:customStyle="1" w:styleId="28">
    <w:name w:val="批注框文本 Char"/>
    <w:basedOn w:val="19"/>
    <w:link w:val="10"/>
    <w:qFormat/>
    <w:uiPriority w:val="0"/>
    <w:rPr>
      <w:sz w:val="18"/>
      <w:szCs w:val="18"/>
    </w:rPr>
  </w:style>
  <w:style w:type="character" w:customStyle="1" w:styleId="29">
    <w:name w:val="标题 1 Char"/>
    <w:basedOn w:val="19"/>
    <w:link w:val="2"/>
    <w:qFormat/>
    <w:uiPriority w:val="0"/>
    <w:rPr>
      <w:rFonts w:ascii="Times New Roman" w:hAnsi="Times New Roman" w:eastAsia="宋体" w:cs="Times New Roman"/>
      <w:b/>
      <w:bCs/>
      <w:kern w:val="44"/>
      <w:sz w:val="44"/>
      <w:szCs w:val="44"/>
    </w:rPr>
  </w:style>
  <w:style w:type="character" w:customStyle="1" w:styleId="30">
    <w:name w:val="标题 2 Char"/>
    <w:basedOn w:val="19"/>
    <w:link w:val="3"/>
    <w:qFormat/>
    <w:uiPriority w:val="0"/>
    <w:rPr>
      <w:rFonts w:ascii="Cambria" w:hAnsi="Cambria" w:eastAsia="宋体" w:cs="Times New Roman"/>
      <w:b/>
      <w:bCs/>
      <w:sz w:val="32"/>
      <w:szCs w:val="32"/>
    </w:rPr>
  </w:style>
  <w:style w:type="character" w:customStyle="1" w:styleId="31">
    <w:name w:val="标题 3 Char"/>
    <w:basedOn w:val="19"/>
    <w:link w:val="4"/>
    <w:qFormat/>
    <w:uiPriority w:val="0"/>
    <w:rPr>
      <w:rFonts w:ascii="Times New Roman" w:hAnsi="Times New Roman" w:eastAsia="宋体" w:cs="Times New Roman"/>
      <w:b/>
      <w:bCs/>
      <w:sz w:val="32"/>
      <w:szCs w:val="32"/>
    </w:rPr>
  </w:style>
  <w:style w:type="character" w:customStyle="1" w:styleId="32">
    <w:name w:val="apple-converted-space"/>
    <w:basedOn w:val="19"/>
    <w:qFormat/>
    <w:uiPriority w:val="0"/>
  </w:style>
  <w:style w:type="character" w:customStyle="1" w:styleId="33">
    <w:name w:val="No Spacing Char"/>
    <w:basedOn w:val="19"/>
    <w:link w:val="34"/>
    <w:qFormat/>
    <w:locked/>
    <w:uiPriority w:val="0"/>
    <w:rPr>
      <w:rFonts w:ascii="Times New Roman" w:hAnsi="Times New Roman"/>
      <w:szCs w:val="24"/>
    </w:rPr>
  </w:style>
  <w:style w:type="paragraph" w:customStyle="1" w:styleId="34">
    <w:name w:val="No Spacing1"/>
    <w:link w:val="33"/>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customStyle="1" w:styleId="35">
    <w:name w:val="文档结构图 Char"/>
    <w:basedOn w:val="19"/>
    <w:link w:val="5"/>
    <w:qFormat/>
    <w:uiPriority w:val="0"/>
    <w:rPr>
      <w:rFonts w:ascii="宋体" w:hAnsi="Times New Roman"/>
      <w:sz w:val="18"/>
      <w:szCs w:val="18"/>
    </w:rPr>
  </w:style>
  <w:style w:type="character" w:customStyle="1" w:styleId="36">
    <w:name w:val="content1"/>
    <w:basedOn w:val="19"/>
    <w:qFormat/>
    <w:uiPriority w:val="0"/>
    <w:rPr>
      <w:rFonts w:cs="Times New Roman"/>
      <w:sz w:val="17"/>
      <w:szCs w:val="17"/>
    </w:rPr>
  </w:style>
  <w:style w:type="character" w:customStyle="1" w:styleId="37">
    <w:name w:val="批注文字 Char"/>
    <w:basedOn w:val="19"/>
    <w:link w:val="6"/>
    <w:qFormat/>
    <w:uiPriority w:val="0"/>
  </w:style>
  <w:style w:type="character" w:customStyle="1" w:styleId="38">
    <w:name w:val="正文文本 Char"/>
    <w:basedOn w:val="19"/>
    <w:link w:val="7"/>
    <w:qFormat/>
    <w:uiPriority w:val="0"/>
    <w:rPr>
      <w:rFonts w:ascii="Times New Roman" w:hAnsi="Times New Roman"/>
      <w:szCs w:val="21"/>
    </w:rPr>
  </w:style>
  <w:style w:type="character" w:customStyle="1" w:styleId="39">
    <w:name w:val="line-height"/>
    <w:basedOn w:val="19"/>
    <w:qFormat/>
    <w:uiPriority w:val="0"/>
    <w:rPr>
      <w:rFonts w:cs="Times New Roman"/>
    </w:rPr>
  </w:style>
  <w:style w:type="character" w:customStyle="1" w:styleId="40">
    <w:name w:val="批注主题 Char"/>
    <w:basedOn w:val="37"/>
    <w:link w:val="16"/>
    <w:qFormat/>
    <w:uiPriority w:val="0"/>
    <w:rPr>
      <w:rFonts w:ascii="Times New Roman" w:hAnsi="Times New Roman"/>
      <w:b/>
      <w:bCs/>
      <w:szCs w:val="24"/>
    </w:rPr>
  </w:style>
  <w:style w:type="character" w:customStyle="1" w:styleId="41">
    <w:name w:val="页眉 Char1"/>
    <w:basedOn w:val="19"/>
    <w:semiHidden/>
    <w:qFormat/>
    <w:uiPriority w:val="99"/>
    <w:rPr>
      <w:rFonts w:ascii="Calibri" w:hAnsi="Calibri" w:eastAsia="宋体" w:cs="Times New Roman"/>
      <w:sz w:val="18"/>
      <w:szCs w:val="18"/>
    </w:rPr>
  </w:style>
  <w:style w:type="character" w:customStyle="1" w:styleId="42">
    <w:name w:val="正文文本 Char1"/>
    <w:basedOn w:val="19"/>
    <w:link w:val="7"/>
    <w:semiHidden/>
    <w:qFormat/>
    <w:uiPriority w:val="99"/>
  </w:style>
  <w:style w:type="character" w:customStyle="1" w:styleId="43">
    <w:name w:val="文档结构图 Char1"/>
    <w:basedOn w:val="19"/>
    <w:link w:val="5"/>
    <w:semiHidden/>
    <w:qFormat/>
    <w:uiPriority w:val="99"/>
    <w:rPr>
      <w:rFonts w:ascii="宋体" w:eastAsia="宋体"/>
      <w:sz w:val="18"/>
      <w:szCs w:val="18"/>
    </w:rPr>
  </w:style>
  <w:style w:type="character" w:customStyle="1" w:styleId="44">
    <w:name w:val="日期 Char1"/>
    <w:basedOn w:val="19"/>
    <w:semiHidden/>
    <w:uiPriority w:val="99"/>
    <w:rPr>
      <w:rFonts w:ascii="Calibri" w:hAnsi="Calibri" w:eastAsia="宋体" w:cs="Times New Roman"/>
    </w:rPr>
  </w:style>
  <w:style w:type="character" w:customStyle="1" w:styleId="45">
    <w:name w:val="批注文字 Char1"/>
    <w:basedOn w:val="19"/>
    <w:link w:val="6"/>
    <w:semiHidden/>
    <w:qFormat/>
    <w:uiPriority w:val="99"/>
  </w:style>
  <w:style w:type="character" w:customStyle="1" w:styleId="46">
    <w:name w:val="批注框文本 Char1"/>
    <w:basedOn w:val="19"/>
    <w:semiHidden/>
    <w:qFormat/>
    <w:uiPriority w:val="99"/>
    <w:rPr>
      <w:rFonts w:ascii="Calibri" w:hAnsi="Calibri" w:eastAsia="宋体" w:cs="Times New Roman"/>
      <w:sz w:val="18"/>
      <w:szCs w:val="18"/>
    </w:rPr>
  </w:style>
  <w:style w:type="character" w:customStyle="1" w:styleId="47">
    <w:name w:val="批注主题 Char1"/>
    <w:basedOn w:val="45"/>
    <w:link w:val="16"/>
    <w:semiHidden/>
    <w:uiPriority w:val="99"/>
    <w:rPr>
      <w:b/>
      <w:bCs/>
    </w:rPr>
  </w:style>
  <w:style w:type="character" w:customStyle="1" w:styleId="48">
    <w:name w:val="页脚 Char1"/>
    <w:basedOn w:val="19"/>
    <w:semiHidden/>
    <w:qFormat/>
    <w:uiPriority w:val="99"/>
    <w:rPr>
      <w:rFonts w:ascii="Calibri" w:hAnsi="Calibri" w:eastAsia="宋体" w:cs="Times New Roman"/>
      <w:sz w:val="18"/>
      <w:szCs w:val="18"/>
    </w:rPr>
  </w:style>
  <w:style w:type="paragraph" w:customStyle="1" w:styleId="49">
    <w:name w:val="三级条标题"/>
    <w:basedOn w:val="50"/>
    <w:next w:val="52"/>
    <w:qFormat/>
    <w:uiPriority w:val="0"/>
    <w:pPr>
      <w:outlineLvl w:val="4"/>
    </w:pPr>
  </w:style>
  <w:style w:type="paragraph" w:customStyle="1" w:styleId="50">
    <w:name w:val="二级条标题"/>
    <w:basedOn w:val="51"/>
    <w:next w:val="52"/>
    <w:qFormat/>
    <w:uiPriority w:val="0"/>
    <w:pPr>
      <w:outlineLvl w:val="3"/>
    </w:pPr>
  </w:style>
  <w:style w:type="paragraph" w:customStyle="1" w:styleId="51">
    <w:name w:val="一级条标题"/>
    <w:next w:val="52"/>
    <w:qFormat/>
    <w:uiPriority w:val="0"/>
    <w:pPr>
      <w:outlineLvl w:val="2"/>
    </w:pPr>
    <w:rPr>
      <w:rFonts w:ascii="Times New Roman" w:hAnsi="Times New Roman" w:eastAsia="黑体" w:cs="Times New Roman"/>
      <w:sz w:val="21"/>
      <w:lang w:val="en-US" w:eastAsia="zh-CN" w:bidi="ar-SA"/>
    </w:rPr>
  </w:style>
  <w:style w:type="paragraph" w:customStyle="1" w:styleId="5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3">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54">
    <w:name w:val="Heading 2"/>
    <w:basedOn w:val="1"/>
    <w:semiHidden/>
    <w:qFormat/>
    <w:uiPriority w:val="0"/>
    <w:pPr>
      <w:ind w:left="141"/>
      <w:jc w:val="left"/>
      <w:outlineLvl w:val="2"/>
    </w:pPr>
    <w:rPr>
      <w:rFonts w:ascii="宋体" w:hAnsi="宋体" w:eastAsia="宋体" w:cs="Times New Roman"/>
      <w:kern w:val="0"/>
      <w:sz w:val="28"/>
      <w:szCs w:val="28"/>
      <w:lang w:eastAsia="en-US"/>
    </w:rPr>
  </w:style>
  <w:style w:type="paragraph" w:customStyle="1" w:styleId="55">
    <w:name w:val="List Paragraph1"/>
    <w:basedOn w:val="1"/>
    <w:qFormat/>
    <w:uiPriority w:val="0"/>
    <w:pPr>
      <w:ind w:firstLine="420" w:firstLineChars="200"/>
    </w:pPr>
    <w:rPr>
      <w:rFonts w:ascii="Times New Roman" w:hAnsi="Times New Roman" w:eastAsia="宋体" w:cs="Times New Roman"/>
      <w:szCs w:val="24"/>
    </w:rPr>
  </w:style>
  <w:style w:type="paragraph" w:customStyle="1" w:styleId="56">
    <w:name w:val="四级条标题"/>
    <w:basedOn w:val="49"/>
    <w:next w:val="52"/>
    <w:qFormat/>
    <w:uiPriority w:val="0"/>
    <w:pPr>
      <w:outlineLvl w:val="5"/>
    </w:pPr>
  </w:style>
  <w:style w:type="paragraph" w:customStyle="1" w:styleId="5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8">
    <w:name w:val="列项——（一级）"/>
    <w:qFormat/>
    <w:uiPriority w:val="0"/>
    <w:pPr>
      <w:widowControl w:val="0"/>
      <w:tabs>
        <w:tab w:val="left" w:pos="907"/>
      </w:tabs>
      <w:ind w:left="964" w:hanging="544"/>
      <w:jc w:val="both"/>
    </w:pPr>
    <w:rPr>
      <w:rFonts w:ascii="宋体" w:hAnsi="Times New Roman" w:eastAsia="宋体" w:cs="Times New Roman"/>
      <w:sz w:val="21"/>
      <w:lang w:val="en-US" w:eastAsia="zh-CN" w:bidi="ar-SA"/>
    </w:rPr>
  </w:style>
  <w:style w:type="paragraph" w:customStyle="1" w:styleId="59">
    <w:name w:val="图表脚注"/>
    <w:next w:val="1"/>
    <w:qFormat/>
    <w:uiPriority w:val="0"/>
    <w:pPr>
      <w:spacing w:after="200" w:line="276" w:lineRule="auto"/>
      <w:ind w:left="200" w:leftChars="200" w:hanging="100" w:hangingChars="100"/>
      <w:jc w:val="both"/>
    </w:pPr>
    <w:rPr>
      <w:rFonts w:ascii="宋体" w:hAnsi="Calibri" w:eastAsia="宋体" w:cs="Times New Roman"/>
      <w:sz w:val="18"/>
      <w:szCs w:val="22"/>
      <w:lang w:val="en-US" w:eastAsia="zh-CN" w:bidi="ar-SA"/>
    </w:rPr>
  </w:style>
  <w:style w:type="paragraph" w:customStyle="1" w:styleId="60">
    <w:name w:val="列出段落1"/>
    <w:basedOn w:val="1"/>
    <w:qFormat/>
    <w:uiPriority w:val="34"/>
    <w:pPr>
      <w:ind w:firstLine="420" w:firstLineChars="200"/>
    </w:pPr>
    <w:rPr>
      <w:rFonts w:ascii="Calibri" w:hAnsi="Calibri" w:eastAsia="宋体" w:cs="Times New Roman"/>
    </w:rPr>
  </w:style>
  <w:style w:type="paragraph" w:customStyle="1" w:styleId="61">
    <w:name w:val="TOC Heading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62">
    <w:name w:val="章标题"/>
    <w:next w:val="52"/>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63">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64">
    <w:name w:val="五级条标题"/>
    <w:basedOn w:val="56"/>
    <w:next w:val="52"/>
    <w:qFormat/>
    <w:uiPriority w:val="0"/>
    <w:pPr>
      <w:outlineLvl w:val="6"/>
    </w:pPr>
  </w:style>
  <w:style w:type="paragraph" w:customStyle="1" w:styleId="65">
    <w:name w:val="实施日期"/>
    <w:basedOn w:val="1"/>
    <w:qFormat/>
    <w:uiPriority w:val="0"/>
    <w:pPr>
      <w:framePr w:w="4000" w:h="473" w:hRule="exact" w:vSpace="180" w:wrap="around" w:vAnchor="margin" w:hAnchor="margin" w:xAlign="right" w:y="13511" w:anchorLock="1"/>
      <w:widowControl/>
      <w:ind w:left="2415" w:hanging="420"/>
      <w:jc w:val="right"/>
    </w:pPr>
    <w:rPr>
      <w:rFonts w:ascii="Times New Roman" w:hAnsi="Times New Roman" w:eastAsia="黑体" w:cs="Times New Roman"/>
      <w:kern w:val="0"/>
      <w:sz w:val="28"/>
      <w:szCs w:val="20"/>
    </w:rPr>
  </w:style>
  <w:style w:type="paragraph" w:customStyle="1" w:styleId="6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67">
    <w:name w:val="Subtle Emphasis"/>
    <w:basedOn w:val="19"/>
    <w:qFormat/>
    <w:uiPriority w:val="19"/>
    <w:rPr>
      <w:i/>
      <w:iCs/>
      <w:color w:val="7F7F7F" w:themeColor="text1" w:themeTint="7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CBB49E-B04C-4A85-8332-FF6AB0225EA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1411</Words>
  <Characters>8046</Characters>
  <Lines>67</Lines>
  <Paragraphs>18</Paragraphs>
  <TotalTime>2</TotalTime>
  <ScaleCrop>false</ScaleCrop>
  <LinksUpToDate>false</LinksUpToDate>
  <CharactersWithSpaces>9439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2020-08-10T09:24:00Z</dcterms:created>
  <dc:creator>China</dc:creator>
  <cp:lastModifiedBy>军</cp:lastModifiedBy>
  <cp:lastPrinted>2020-08-10T09:04:00Z</cp:lastPrinted>
  <dcterms:modified xsi:type="dcterms:W3CDTF">2020-08-12T03:55:57Z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